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92" w:rsidRPr="00C72650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2650">
        <w:rPr>
          <w:rFonts w:asciiTheme="minorHAnsi" w:hAnsiTheme="minorHAnsi" w:cstheme="minorHAnsi"/>
          <w:b/>
          <w:sz w:val="20"/>
          <w:szCs w:val="20"/>
        </w:rPr>
        <w:t xml:space="preserve">Opis techniczny oferowanego sprzętu potwierdzający spełnianie przez oferowane dostawy wymagań określonych przez Zamawiającego </w:t>
      </w:r>
    </w:p>
    <w:p w:rsidR="0056477C" w:rsidRPr="00C72650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2650">
        <w:rPr>
          <w:rFonts w:asciiTheme="minorHAnsi" w:hAnsiTheme="minorHAnsi" w:cstheme="minorHAnsi"/>
          <w:b/>
          <w:sz w:val="20"/>
          <w:szCs w:val="20"/>
        </w:rPr>
        <w:t>w załączniku nr 1 do PPU</w:t>
      </w:r>
      <w:r w:rsidR="008A2606" w:rsidRPr="00C72650">
        <w:rPr>
          <w:rFonts w:asciiTheme="minorHAnsi" w:hAnsiTheme="minorHAnsi" w:cstheme="minorHAnsi"/>
          <w:b/>
          <w:sz w:val="20"/>
          <w:szCs w:val="20"/>
        </w:rPr>
        <w:t xml:space="preserve"> dla zadania nr </w:t>
      </w:r>
      <w:r w:rsidR="00C72650" w:rsidRPr="00C72650">
        <w:rPr>
          <w:rFonts w:asciiTheme="minorHAnsi" w:hAnsiTheme="minorHAnsi" w:cstheme="minorHAnsi"/>
          <w:b/>
          <w:sz w:val="20"/>
          <w:szCs w:val="20"/>
        </w:rPr>
        <w:t>2</w:t>
      </w:r>
    </w:p>
    <w:p w:rsidR="00B01A16" w:rsidRPr="00C72650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2650">
        <w:rPr>
          <w:rFonts w:asciiTheme="minorHAnsi" w:hAnsiTheme="minorHAnsi" w:cstheme="minorHAnsi"/>
          <w:b/>
          <w:sz w:val="20"/>
          <w:szCs w:val="20"/>
        </w:rPr>
        <w:t>Typ/ model/ producent: ………………………………………………………….</w:t>
      </w:r>
    </w:p>
    <w:tbl>
      <w:tblPr>
        <w:tblW w:w="135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475"/>
        <w:gridCol w:w="11623"/>
      </w:tblGrid>
      <w:tr w:rsidR="00717008" w:rsidRPr="00C72650" w:rsidTr="00717008">
        <w:trPr>
          <w:trHeight w:val="5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08" w:rsidRPr="00C72650" w:rsidRDefault="00717008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08" w:rsidRPr="00C72650" w:rsidRDefault="00717008" w:rsidP="0073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008" w:rsidRPr="00C72650" w:rsidRDefault="00717008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sz w:val="20"/>
                <w:szCs w:val="20"/>
              </w:rPr>
              <w:t>Opis przedmiotu zamówienia – minimalne wymagania techniczne i funkcjonalne</w:t>
            </w:r>
          </w:p>
        </w:tc>
      </w:tr>
      <w:tr w:rsidR="00717008" w:rsidRPr="00C72650" w:rsidTr="00717008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08" w:rsidRPr="00C72650" w:rsidRDefault="00717008" w:rsidP="007D60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650" w:rsidRPr="00C72650" w:rsidRDefault="00C72650" w:rsidP="00C72650">
            <w:pPr>
              <w:spacing w:after="40"/>
              <w:ind w:lef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b/>
                <w:sz w:val="20"/>
                <w:szCs w:val="20"/>
              </w:rPr>
              <w:t>Zestaw spektrometryczny do identyfikacji zagrożeń chemicznych i narkotyków:</w:t>
            </w:r>
          </w:p>
          <w:p w:rsidR="00C72650" w:rsidRPr="00C72650" w:rsidRDefault="00C72650" w:rsidP="00C72650">
            <w:pPr>
              <w:spacing w:after="40"/>
              <w:ind w:lef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17008" w:rsidRPr="00C72650" w:rsidRDefault="00C72650" w:rsidP="00C72650">
            <w:pPr>
              <w:spacing w:after="40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b/>
                <w:sz w:val="20"/>
                <w:szCs w:val="20"/>
              </w:rPr>
              <w:t>Zestaw składa się z dwóch niezależnych spektrometrów działających w oparciu o technikę FTIR oraz NIR oraz dedykowanego tabletu.</w:t>
            </w: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7008" w:rsidRPr="00C72650" w:rsidRDefault="00717008" w:rsidP="000D2FA4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7265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Parametry urządzenia:</w:t>
            </w:r>
          </w:p>
          <w:tbl>
            <w:tblPr>
              <w:tblW w:w="466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09"/>
              <w:gridCol w:w="1833"/>
            </w:tblGrid>
            <w:tr w:rsidR="00C72650" w:rsidRPr="00C72650" w:rsidTr="000D2FA4">
              <w:trPr>
                <w:trHeight w:val="520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2650" w:rsidRPr="00C72650" w:rsidRDefault="00C72650" w:rsidP="00C72650">
                  <w:pPr>
                    <w:ind w:left="654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Wymagania szczegółowe dla spektrometru NIR:</w:t>
                  </w:r>
                </w:p>
              </w:tc>
            </w:tr>
            <w:tr w:rsidR="00C72650" w:rsidRPr="00C72650" w:rsidTr="00C72650">
              <w:trPr>
                <w:trHeight w:val="42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przeznaczony do identyfikacji narkotyków, prekursorów i wypełniaczy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2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wykorzystywać technikę bliskiej podczerwieni,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0D2FA4">
              <w:trPr>
                <w:trHeight w:val="27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mieć oprogramowanie w języku polskim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50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posiadać źródło światła oparte o co najmniej dwie zintegrowane żarówki wolframowe,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5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czas życia lampy musi wynosić minimum 40000 godzin,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0D2FA4">
              <w:trPr>
                <w:trHeight w:val="406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mieć możliwość dokonywania pomiaru w odległości co najmniej 0-15mm,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19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detektor spektrometru musi stanowić fotodioda 128 pikseli </w:t>
                  </w:r>
                  <w:proofErr w:type="spellStart"/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InGaAs</w:t>
                  </w:r>
                  <w:proofErr w:type="spellEnd"/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39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zakres spektralny spektrometru musi się zmieścić w zakresie co najmniej 950-1650nm (10526-6060 cm -1);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4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rozdzielczość spektrometru musi być mniejsza niż 12,5 </w:t>
                  </w:r>
                  <w:proofErr w:type="spellStart"/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nm</w:t>
                  </w:r>
                  <w:proofErr w:type="spellEnd"/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8A2606">
              <w:trPr>
                <w:trHeight w:val="44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czas pomiaru próbki przez spektrometr musi być nie większy niż 5 sekund,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8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posiadać czas integracji nie dłuższy niż 10 ms,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55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posiadać możliwość komunikacji Bluetooth w wersji co najmniej 4.1 oraz co najmniej jedno złącze USB,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49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masa spektrometru nie może być wyższa niż 250g,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0D2FA4">
              <w:trPr>
                <w:trHeight w:val="34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wymiary spektrometru nie powinny być większe niż 200mm x 50mm,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0D2FA4" w:rsidRPr="00C72650" w:rsidTr="000D2FA4">
              <w:trPr>
                <w:trHeight w:val="620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2FA4" w:rsidRPr="00C72650" w:rsidRDefault="000D2FA4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spektrometr musi być wyposażony w źródło zasilania – akumulator </w:t>
                  </w:r>
                  <w:proofErr w:type="spellStart"/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litowo</w:t>
                  </w:r>
                  <w:proofErr w:type="spellEnd"/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-jonowy zapewniający pracę do 10 godzin,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2FA4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C72650" w:rsidRPr="00C72650" w:rsidTr="000D2FA4">
              <w:trPr>
                <w:trHeight w:val="41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czas ładowania baterii powinien być nie dłuższy niż 3,5 godziny przy prądzie 1A,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56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zapewniać możliwość pracy w zakresie temperatur co najmniej od -20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  <w:vertAlign w:val="superscript"/>
                    </w:rPr>
                    <w:t>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 do 40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  <w:vertAlign w:val="superscript"/>
                    </w:rPr>
                    <w:t>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0D2FA4">
              <w:trPr>
                <w:trHeight w:val="496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temperatura przechowywania spektrometru musi mieścić się w zakresie temperatur co najmniej od -20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  <w:vertAlign w:val="superscript"/>
                    </w:rPr>
                    <w:t>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 do 50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  <w:vertAlign w:val="superscript"/>
                    </w:rPr>
                    <w:t>0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C  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35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left" w:pos="1276"/>
                    </w:tabs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spektrometr musi posiadać odporność zgodną z IP 67;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C72650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spacing w:after="120"/>
                    <w:ind w:left="937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w zestawie musi znajdować się ładowarka oraz kabel do ładowania spektrometru, wzorzec kalibracyjny, okienko ochronne na optykę, wzmocniona walizka transportowa, białe lusterko referencyjne, szkło szafirowe do pomiarów.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num" w:pos="2127"/>
                    </w:tabs>
                    <w:spacing w:after="120"/>
                    <w:ind w:left="937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>oprogramowanie spektrometru musi posiadać możliwość identyfikacji minimum 3 substancji w mieszaninach,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numPr>
                      <w:ilvl w:val="2"/>
                      <w:numId w:val="10"/>
                    </w:numPr>
                    <w:tabs>
                      <w:tab w:val="num" w:pos="2127"/>
                    </w:tabs>
                    <w:spacing w:after="120"/>
                    <w:ind w:left="937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 xml:space="preserve">spektrometr jak i oprogramowanie musi umożliwiać analizę ilościową co najmniej: marihuany, kokainy, MDMA, heroiny, amfetaminy i </w:t>
                  </w:r>
                  <w:proofErr w:type="spellStart"/>
                  <w:r w:rsidRPr="00C72650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>ketaminy</w:t>
                  </w:r>
                  <w:proofErr w:type="spellEnd"/>
                  <w:r w:rsidRPr="00C72650">
                    <w:rPr>
                      <w:rStyle w:val="normaltextrun"/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0D2FA4" w:rsidRPr="00C72650" w:rsidTr="000D2FA4">
              <w:trPr>
                <w:trHeight w:val="297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2FA4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Wymagania szczegółowe dla spektrometru FTIR: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Aparat działający samodzielnie, bez konieczności podłączenia do </w:t>
                  </w:r>
                  <w:r w:rsidRPr="00C72650">
                    <w:rPr>
                      <w:rFonts w:eastAsia="SimSun" w:cstheme="minorHAnsi"/>
                      <w:noProof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komputera</w:t>
                  </w: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Pomiar i analiza powinna odbywać się w sposób nieniszczący - pomiar bezpośredni bez przygotowania próbki np. optyka ATR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Możliwość pomiaru próbek stałych, w postaci proszków.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Możliwość pomiaru próbek barwnych oraz próbek ciekłych.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Możliwość analizy mieszanin</w:t>
                  </w: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Zakres spektralny 4000 cm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vertAlign w:val="superscript"/>
                      <w:lang w:val="pl-PL" w:eastAsia="hi-IN" w:bidi="hi-IN"/>
                    </w:rPr>
                    <w:t>-1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 - 650 cm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vertAlign w:val="superscript"/>
                      <w:lang w:val="pl-PL" w:eastAsia="hi-IN" w:bidi="hi-IN"/>
                    </w:rPr>
                    <w:t>-1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 z rozdzielczością spektralną co najmniej 4 cm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vertAlign w:val="superscript"/>
                      <w:lang w:val="pl-PL" w:eastAsia="hi-IN" w:bidi="hi-IN"/>
                    </w:rPr>
                    <w:t>-1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Biblioteka urządzenia zawierająca minimum 22 000 związków (cieczy i ciał stałych), w tym bibliotekę narkotyków SWGDRUG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Uzyskiwany wynik analizy: co najmniej  widmo i nazwa systematyczna oraz opis właściwości substancji. Dostęp do pełnych danych o substancji poprzez dedykowana aplikacje na urządzenia mobilne.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Możliwość przesyłania wyników na komputer w formie raportów przez USB i/lub Wi-Fi, Bluetooth </w:t>
                  </w: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lastRenderedPageBreak/>
                    <w:t>itp.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lastRenderedPageBreak/>
                    <w:t>Kolorowy ekran LCD lub LED min 4’’.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Oprogramowanie aparatu w języku polskim.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Temperatura pracy urządzenia co najmniej: od -20°C do + 40°C.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Temperatura przechowywania co najmniej: od -20</w:t>
                  </w: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°C 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do +60</w:t>
                  </w: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°C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Obudowa urządzenia zgodna z wymaganiami IP67.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Ciągła praca na zasilaniu baterią - minimum 6 godzin pracy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Dwa akumulatory </w:t>
                  </w:r>
                  <w:proofErr w:type="spellStart"/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litowo</w:t>
                  </w:r>
                  <w:proofErr w:type="spellEnd"/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-jonowe w zestawie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Ładowarka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  <w:t xml:space="preserve"> do 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baterii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  <w:t xml:space="preserve"> w 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zestawie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Niezbędne kable (na przykład: zasilający, USB, itp.) służące do obsługi urządzenia.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strike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Dedykowana walizka transportowa służąca do przenoszenia wszystkich elementów.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Instrukcja obsługi 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eastAsia="hi-IN" w:bidi="hi-IN"/>
                    </w:rPr>
                    <w:t xml:space="preserve">w 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>języku polskim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Instruktaż w zakresie obsługi urządzenia wraz z oprogramowaniem, w uzgodnionym z Zamawiającym terminie </w:t>
                  </w:r>
                  <w:r w:rsidRPr="00C72650">
                    <w:rPr>
                      <w:rFonts w:eastAsia="SimSun" w:cstheme="minorHAnsi"/>
                      <w:kern w:val="1"/>
                      <w:sz w:val="20"/>
                      <w:szCs w:val="20"/>
                      <w:lang w:val="pl-PL" w:eastAsia="hi-IN" w:bidi="hi-IN"/>
                    </w:rPr>
                    <w:t xml:space="preserve">i miejscu 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Waga aparatu max. 2,5 kg wraz z baterią– urządzenie całkowicie przenośne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Urządzenie powinno posiadać wbudowane wyświetlanie specjalnych alarmów ostrzegawczych o obecności zagrożenia typu biologicznego, materiału wybuchowego, bojowego środka trującego oraz wody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suppressAutoHyphens/>
                    <w:autoSpaceDE w:val="0"/>
                    <w:autoSpaceDN w:val="0"/>
                    <w:adjustRightInd w:val="0"/>
                    <w:spacing w:after="0" w:line="288" w:lineRule="auto"/>
                    <w:ind w:left="937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eastAsia="SimSun" w:cstheme="minorHAnsi"/>
                      <w:color w:val="222222"/>
                      <w:kern w:val="1"/>
                      <w:sz w:val="20"/>
                      <w:szCs w:val="20"/>
                      <w:lang w:val="pl-PL" w:eastAsia="hi-IN" w:bidi="hi-IN"/>
                    </w:rPr>
                    <w:t>Wymiary aparatu nie większe niż 17 cm x 24 cm x 8 cm - aparat w pełni podręczny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0D2FA4" w:rsidRPr="00C72650" w:rsidTr="000D2FA4">
              <w:trPr>
                <w:trHeight w:val="297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2FA4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b/>
                      <w:color w:val="222222"/>
                      <w:kern w:val="1"/>
                      <w:sz w:val="20"/>
                      <w:szCs w:val="20"/>
                      <w:lang w:eastAsia="hi-IN"/>
                    </w:rPr>
                    <w:t>Tablet dedykowany do zestawu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Pamięć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RAM: 8 GB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Pamięć wbudowana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>: 256 GB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Czytnik linii papilarnych: TAK w ramce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Typ ekranu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Pojemnościowy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10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punktowy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>, IPS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Przekątna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ekranu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>: 11”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Rozdzielczość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ekranu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>: 2000x1200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lastRenderedPageBreak/>
                    <w:t>Łączność: Wbudowany modem 4 G (LTE)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</w:rPr>
                    <w:t>Wi – fi 6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Moduł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Bluetooth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Moduł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NFC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Nawigacja satelitarna: GPS,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BeiDou</w:t>
                  </w:r>
                  <w:proofErr w:type="spellEnd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,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Glonass</w:t>
                  </w:r>
                  <w:proofErr w:type="spellEnd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, Galileo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Czujniki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Akcelometr</w:t>
                  </w:r>
                  <w:proofErr w:type="spellEnd"/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czujnik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światła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żyroskop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Złącza: USB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Type</w:t>
                  </w:r>
                  <w:proofErr w:type="spellEnd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 – C 1 szt., Wyjście słuchawkowe – 1 szt.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C72650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Bateria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litowo</w:t>
                  </w:r>
                  <w:proofErr w:type="spellEnd"/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– </w:t>
                  </w: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polimerowa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18 600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mAH</w:t>
                  </w:r>
                  <w:proofErr w:type="spellEnd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765FD8" w:rsidRDefault="00765FD8" w:rsidP="00765FD8">
                  <w:pPr>
                    <w:pStyle w:val="Akapitzlist"/>
                    <w:numPr>
                      <w:ilvl w:val="0"/>
                      <w:numId w:val="12"/>
                    </w:numPr>
                    <w:ind w:left="1004" w:hanging="709"/>
                    <w:rPr>
                      <w:rFonts w:cstheme="minorHAnsi"/>
                      <w:sz w:val="20"/>
                      <w:szCs w:val="20"/>
                    </w:rPr>
                  </w:pPr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System operacyjny: zapewniający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prawidłową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pracę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całego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zestawu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I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obsługujący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standard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komunikacji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65FD8">
                    <w:rPr>
                      <w:rFonts w:cstheme="minorHAnsi"/>
                      <w:sz w:val="20"/>
                      <w:szCs w:val="20"/>
                    </w:rPr>
                    <w:t>bezptrzewodowej</w:t>
                  </w:r>
                  <w:proofErr w:type="spellEnd"/>
                  <w:r w:rsidRPr="00765FD8">
                    <w:rPr>
                      <w:rFonts w:cstheme="minorHAnsi"/>
                      <w:sz w:val="20"/>
                      <w:szCs w:val="20"/>
                    </w:rPr>
                    <w:t xml:space="preserve"> Wi-Fi  7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765FD8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Aparat: Tak, przód – 16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Mpix</w:t>
                  </w:r>
                  <w:proofErr w:type="spellEnd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, tył 48 </w:t>
                  </w:r>
                  <w:proofErr w:type="spellStart"/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Mpix</w:t>
                  </w:r>
                  <w:proofErr w:type="spellEnd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765FD8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Rozdzielczość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 xml:space="preserve"> Video: 2 K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765FD8">
                  <w:pPr>
                    <w:pStyle w:val="Akapitzlist"/>
                    <w:numPr>
                      <w:ilvl w:val="0"/>
                      <w:numId w:val="12"/>
                    </w:numPr>
                    <w:ind w:left="937"/>
                    <w:rPr>
                      <w:rFonts w:cstheme="minorHAnsi"/>
                      <w:sz w:val="20"/>
                      <w:szCs w:val="20"/>
                    </w:rPr>
                  </w:pPr>
                  <w:r w:rsidRPr="00C72650">
                    <w:rPr>
                      <w:rFonts w:cstheme="minorHAnsi"/>
                      <w:sz w:val="20"/>
                      <w:szCs w:val="20"/>
                      <w:lang w:val="pl-PL"/>
                    </w:rPr>
                    <w:t>Ładowanie</w:t>
                  </w:r>
                  <w:r w:rsidRPr="00C72650">
                    <w:rPr>
                      <w:rFonts w:cstheme="minorHAnsi"/>
                      <w:sz w:val="20"/>
                      <w:szCs w:val="20"/>
                    </w:rPr>
                    <w:t>: 33 W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0D2FA4">
              <w:trPr>
                <w:trHeight w:val="519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765FD8" w:rsidRDefault="00765FD8" w:rsidP="00765FD8">
                  <w:pPr>
                    <w:ind w:left="579" w:hanging="426"/>
                    <w:rPr>
                      <w:rFonts w:asciiTheme="minorHAnsi" w:hAnsiTheme="minorHAnsi" w:cstheme="minorHAnsi"/>
                      <w:sz w:val="20"/>
                      <w:szCs w:val="20"/>
                      <w:highlight w:val="red"/>
                    </w:rPr>
                  </w:pPr>
                  <w:r w:rsidRPr="00765FD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XIX. </w:t>
                  </w:r>
                  <w:r w:rsidRPr="00765FD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Dodatkowe informacje: pyłoszczelność i wodoszczelność, standard   militarny (MIL-STD-810H), wyświetlacz wykonany z wytrzymałego i odpornego na zarysowania szkła hartowanego </w:t>
                  </w:r>
                  <w:bookmarkStart w:id="0" w:name="_GoBack"/>
                  <w:bookmarkEnd w:id="0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0D2FA4">
              <w:trPr>
                <w:trHeight w:val="38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0D2FA4" w:rsidRDefault="00C72650" w:rsidP="00C72650">
                  <w:pPr>
                    <w:pStyle w:val="Podtytu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0D2FA4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Wymagania dodatkowe: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C72650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C72650" w:rsidP="000D2FA4">
                  <w:pPr>
                    <w:pStyle w:val="Podtytu"/>
                    <w:numPr>
                      <w:ilvl w:val="0"/>
                      <w:numId w:val="14"/>
                    </w:numPr>
                    <w:ind w:left="295" w:hanging="283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Aparatura musi być nowa i pochodzić z bieżącej produkcji.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C72650" w:rsidRPr="00C72650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50" w:rsidRPr="00C72650" w:rsidRDefault="000D2FA4" w:rsidP="008810DA">
                  <w:pPr>
                    <w:pStyle w:val="Podtytu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II. </w:t>
                  </w:r>
                  <w:r w:rsidR="00C72650"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Gwarancja </w:t>
                  </w:r>
                  <w:r w:rsidR="008810DA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minimum </w:t>
                  </w:r>
                  <w:r w:rsidR="00C72650"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12 </w:t>
                  </w:r>
                  <w:r w:rsidR="008810DA"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miesięc</w:t>
                  </w:r>
                  <w:r w:rsidR="008810DA">
                    <w:rPr>
                      <w:rFonts w:asciiTheme="minorHAnsi" w:hAnsiTheme="minorHAnsi" w:cstheme="minorHAnsi"/>
                      <w:sz w:val="20"/>
                      <w:szCs w:val="20"/>
                    </w:rPr>
                    <w:t>y</w:t>
                  </w:r>
                  <w:r w:rsidR="00C72650"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od daty podpisania protokołu odbioru kompletnego zestawu 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50" w:rsidRPr="00C72650" w:rsidRDefault="000D2FA4" w:rsidP="00C72650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</w:tbl>
          <w:p w:rsidR="00717008" w:rsidRPr="00C72650" w:rsidRDefault="00717008" w:rsidP="00737092">
            <w:pPr>
              <w:pStyle w:val="Podtytu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37092" w:rsidRPr="00C72650" w:rsidRDefault="00737092" w:rsidP="00737092">
      <w:pPr>
        <w:pStyle w:val="Podtytu"/>
        <w:jc w:val="left"/>
        <w:rPr>
          <w:rFonts w:asciiTheme="minorHAnsi" w:hAnsiTheme="minorHAnsi" w:cstheme="minorHAnsi"/>
          <w:sz w:val="20"/>
          <w:szCs w:val="20"/>
        </w:rPr>
      </w:pPr>
      <w:r w:rsidRPr="00C72650">
        <w:rPr>
          <w:rFonts w:asciiTheme="minorHAnsi" w:hAnsiTheme="minorHAnsi" w:cstheme="minorHAnsi"/>
          <w:sz w:val="20"/>
          <w:szCs w:val="20"/>
        </w:rPr>
        <w:lastRenderedPageBreak/>
        <w:t xml:space="preserve">Potwierdzenie zgodności/niezgodności oferowanego przez Wykonawcę przedmiotu zamówienia z przedmiotem zamówienia wymaganym przez Zamawiającego winno nastąpić odpowiednio poprzez skreślenie w kolumnie „Parametr oferowany” odpowiedniego sformułowania „tak” lub „nie” </w:t>
      </w:r>
    </w:p>
    <w:p w:rsidR="000D2FA4" w:rsidRDefault="00AC30CA" w:rsidP="000D2FA4">
      <w:pPr>
        <w:pStyle w:val="Podtytu"/>
        <w:jc w:val="right"/>
        <w:rPr>
          <w:rFonts w:asciiTheme="minorHAnsi" w:hAnsiTheme="minorHAnsi" w:cstheme="minorHAnsi"/>
          <w:sz w:val="20"/>
          <w:szCs w:val="20"/>
        </w:rPr>
      </w:pPr>
      <w:r w:rsidRPr="00C72650">
        <w:rPr>
          <w:rFonts w:asciiTheme="minorHAnsi" w:eastAsia="Calibri" w:hAnsiTheme="minorHAnsi" w:cstheme="minorHAnsi"/>
          <w:sz w:val="20"/>
          <w:szCs w:val="20"/>
        </w:rPr>
        <w:t>……………</w:t>
      </w:r>
      <w:r w:rsidRPr="00C72650">
        <w:rPr>
          <w:rFonts w:asciiTheme="minorHAnsi" w:hAnsiTheme="minorHAnsi" w:cstheme="minorHAnsi"/>
          <w:sz w:val="20"/>
          <w:szCs w:val="20"/>
        </w:rPr>
        <w:t>.……., dnia …………………. r.</w:t>
      </w:r>
    </w:p>
    <w:p w:rsidR="00AC30CA" w:rsidRPr="00C72650" w:rsidRDefault="00AC30CA" w:rsidP="000D2FA4">
      <w:pPr>
        <w:pStyle w:val="Podtytu"/>
        <w:jc w:val="right"/>
        <w:rPr>
          <w:rFonts w:asciiTheme="minorHAnsi" w:hAnsiTheme="minorHAnsi" w:cstheme="minorHAnsi"/>
          <w:sz w:val="20"/>
          <w:szCs w:val="20"/>
        </w:rPr>
      </w:pPr>
      <w:r w:rsidRPr="00C72650">
        <w:rPr>
          <w:rFonts w:asciiTheme="minorHAnsi" w:hAnsiTheme="minorHAnsi" w:cstheme="minorHAnsi"/>
          <w:i/>
          <w:iCs/>
          <w:sz w:val="20"/>
          <w:szCs w:val="20"/>
        </w:rPr>
        <w:t>Imię i nazwisko</w:t>
      </w:r>
    </w:p>
    <w:p w:rsidR="00737092" w:rsidRPr="00C72650" w:rsidRDefault="00737092" w:rsidP="00737092">
      <w:pPr>
        <w:autoSpaceDE w:val="0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C72650">
        <w:rPr>
          <w:rFonts w:asciiTheme="minorHAnsi" w:hAnsiTheme="minorHAnsi" w:cstheme="minorHAnsi"/>
          <w:i/>
          <w:iCs/>
          <w:sz w:val="20"/>
          <w:szCs w:val="20"/>
        </w:rPr>
        <w:t>podpisano elektronicznie</w:t>
      </w:r>
    </w:p>
    <w:p w:rsidR="00737092" w:rsidRPr="00C72650" w:rsidRDefault="00737092" w:rsidP="00737092">
      <w:pPr>
        <w:autoSpaceDE w:val="0"/>
        <w:jc w:val="right"/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</w:pPr>
    </w:p>
    <w:p w:rsidR="00AC30CA" w:rsidRPr="00C72650" w:rsidRDefault="00AC30CA" w:rsidP="00737092">
      <w:pPr>
        <w:autoSpaceDE w:val="0"/>
        <w:rPr>
          <w:rFonts w:asciiTheme="minorHAnsi" w:hAnsiTheme="minorHAnsi" w:cstheme="minorHAnsi"/>
          <w:i/>
          <w:iCs/>
          <w:sz w:val="20"/>
          <w:szCs w:val="20"/>
        </w:rPr>
      </w:pPr>
      <w:r w:rsidRPr="00C72650"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  <w:t>Uwaga!</w:t>
      </w:r>
    </w:p>
    <w:p w:rsidR="00AC30CA" w:rsidRPr="00C72650" w:rsidRDefault="00AC30CA" w:rsidP="00AC30CA">
      <w:pPr>
        <w:suppressAutoHyphens w:val="0"/>
        <w:jc w:val="both"/>
        <w:rPr>
          <w:rFonts w:asciiTheme="minorHAnsi" w:hAnsiTheme="minorHAnsi" w:cstheme="minorHAnsi"/>
          <w:kern w:val="0"/>
          <w:sz w:val="20"/>
          <w:szCs w:val="20"/>
          <w:lang w:eastAsia="pl-PL"/>
        </w:rPr>
      </w:pPr>
      <w:r w:rsidRPr="00C72650"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  <w:lastRenderedPageBreak/>
        <w:t xml:space="preserve">Oświadczenie po wypełnieniu </w:t>
      </w:r>
      <w:r w:rsidRPr="00C72650">
        <w:rPr>
          <w:rFonts w:asciiTheme="minorHAnsi" w:hAnsiTheme="minorHAnsi" w:cstheme="minorHAnsi"/>
          <w:b/>
          <w:bCs/>
          <w:i/>
          <w:kern w:val="0"/>
          <w:sz w:val="20"/>
          <w:szCs w:val="20"/>
          <w:lang w:eastAsia="pl-PL"/>
        </w:rPr>
        <w:t>należy podpisać</w:t>
      </w:r>
      <w:r w:rsidRPr="00C72650"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  <w:t xml:space="preserve"> kwalifikowanym podpisem elektronicznym przez osoby upoważnione do reprezentowania wykonawców występujących wspólnie i złożyć zgodnie z wymaganiami SWZ</w:t>
      </w:r>
      <w:r w:rsidRPr="00C72650">
        <w:rPr>
          <w:rFonts w:asciiTheme="minorHAnsi" w:hAnsiTheme="minorHAnsi" w:cstheme="minorHAnsi"/>
          <w:kern w:val="0"/>
          <w:sz w:val="20"/>
          <w:szCs w:val="20"/>
          <w:lang w:eastAsia="pl-PL"/>
        </w:rPr>
        <w:t>.</w:t>
      </w:r>
    </w:p>
    <w:p w:rsidR="00AC30CA" w:rsidRPr="00C72650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kern w:val="0"/>
          <w:sz w:val="20"/>
          <w:szCs w:val="20"/>
          <w:lang w:eastAsia="pl-PL"/>
        </w:rPr>
      </w:pPr>
      <w:r w:rsidRPr="00C72650">
        <w:rPr>
          <w:rFonts w:asciiTheme="minorHAnsi" w:hAnsiTheme="minorHAnsi" w:cstheme="minorHAnsi"/>
          <w:i/>
          <w:kern w:val="0"/>
          <w:sz w:val="20"/>
          <w:szCs w:val="20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C72650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C72650" w:rsidRDefault="00AC30CA">
      <w:pPr>
        <w:rPr>
          <w:rFonts w:asciiTheme="minorHAnsi" w:hAnsiTheme="minorHAnsi" w:cstheme="minorHAnsi"/>
          <w:sz w:val="20"/>
          <w:szCs w:val="20"/>
        </w:rPr>
      </w:pPr>
    </w:p>
    <w:p w:rsidR="008A2606" w:rsidRPr="00C72650" w:rsidRDefault="008A2606">
      <w:pPr>
        <w:rPr>
          <w:rFonts w:asciiTheme="minorHAnsi" w:hAnsiTheme="minorHAnsi" w:cstheme="minorHAnsi"/>
          <w:sz w:val="20"/>
          <w:szCs w:val="20"/>
        </w:rPr>
      </w:pPr>
    </w:p>
    <w:sectPr w:rsidR="008A2606" w:rsidRPr="00C72650" w:rsidSect="00C07B7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E4F" w:rsidRDefault="00831E4F" w:rsidP="00B01A16">
      <w:r>
        <w:separator/>
      </w:r>
    </w:p>
  </w:endnote>
  <w:endnote w:type="continuationSeparator" w:id="0">
    <w:p w:rsidR="00831E4F" w:rsidRDefault="00831E4F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E4F" w:rsidRDefault="00831E4F" w:rsidP="00B01A16">
      <w:r>
        <w:separator/>
      </w:r>
    </w:p>
  </w:footnote>
  <w:footnote w:type="continuationSeparator" w:id="0">
    <w:p w:rsidR="00831E4F" w:rsidRDefault="00831E4F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56477C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Załącznik nr </w:t>
    </w:r>
    <w:r w:rsidR="00717008">
      <w:rPr>
        <w:rFonts w:asciiTheme="minorHAnsi" w:hAnsiTheme="minorHAnsi" w:cstheme="minorHAnsi"/>
        <w:sz w:val="22"/>
        <w:szCs w:val="22"/>
      </w:rPr>
      <w:t>6.</w:t>
    </w:r>
    <w:r w:rsidR="00C72650">
      <w:rPr>
        <w:rFonts w:asciiTheme="minorHAnsi" w:hAnsiTheme="minorHAnsi" w:cstheme="minorHAnsi"/>
        <w:sz w:val="22"/>
        <w:szCs w:val="22"/>
      </w:rPr>
      <w:t>2</w:t>
    </w:r>
    <w:r w:rsidR="00B01A16" w:rsidRPr="00B01A16">
      <w:rPr>
        <w:rFonts w:asciiTheme="minorHAnsi" w:hAnsiTheme="minorHAnsi" w:cstheme="minorHAnsi"/>
        <w:sz w:val="22"/>
        <w:szCs w:val="22"/>
      </w:rPr>
      <w:t xml:space="preserve"> do SWZ – sprawa numer: PU-2380</w:t>
    </w:r>
    <w:r w:rsidR="00737092">
      <w:rPr>
        <w:rFonts w:asciiTheme="minorHAnsi" w:hAnsiTheme="minorHAnsi" w:cstheme="minorHAnsi"/>
        <w:sz w:val="22"/>
        <w:szCs w:val="22"/>
      </w:rPr>
      <w:t>-</w:t>
    </w:r>
    <w:r w:rsidR="00717008">
      <w:rPr>
        <w:rFonts w:asciiTheme="minorHAnsi" w:hAnsiTheme="minorHAnsi" w:cstheme="minorHAnsi"/>
        <w:sz w:val="22"/>
        <w:szCs w:val="22"/>
      </w:rPr>
      <w:t>146-086-145</w:t>
    </w:r>
    <w:r w:rsidR="00B01A16" w:rsidRPr="00B01A16">
      <w:rPr>
        <w:rFonts w:asciiTheme="minorHAnsi" w:hAnsiTheme="minorHAnsi" w:cstheme="minorHAnsi"/>
        <w:sz w:val="22"/>
        <w:szCs w:val="22"/>
      </w:rPr>
      <w:t>/202</w:t>
    </w:r>
    <w:r w:rsidR="00717008">
      <w:rPr>
        <w:rFonts w:asciiTheme="minorHAnsi" w:hAnsiTheme="minorHAnsi" w:cstheme="minorHAnsi"/>
        <w:sz w:val="22"/>
        <w:szCs w:val="22"/>
      </w:rPr>
      <w:t>5</w:t>
    </w:r>
    <w:r w:rsidR="00B01A16" w:rsidRPr="00B01A16">
      <w:rPr>
        <w:rFonts w:asciiTheme="minorHAnsi" w:hAnsiTheme="minorHAnsi" w:cstheme="minorHAnsi"/>
        <w:sz w:val="22"/>
        <w:szCs w:val="22"/>
      </w:rPr>
      <w:t>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63A4"/>
    <w:multiLevelType w:val="hybridMultilevel"/>
    <w:tmpl w:val="C7A24B58"/>
    <w:lvl w:ilvl="0" w:tplc="D828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E6CFF"/>
    <w:multiLevelType w:val="hybridMultilevel"/>
    <w:tmpl w:val="0122C8F0"/>
    <w:lvl w:ilvl="0" w:tplc="9C948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C65D6B"/>
    <w:multiLevelType w:val="hybridMultilevel"/>
    <w:tmpl w:val="1ED087C4"/>
    <w:lvl w:ilvl="0" w:tplc="0FBE6BBE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E04DD"/>
    <w:multiLevelType w:val="hybridMultilevel"/>
    <w:tmpl w:val="B4D0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F0637"/>
    <w:multiLevelType w:val="hybridMultilevel"/>
    <w:tmpl w:val="6888C34E"/>
    <w:lvl w:ilvl="0" w:tplc="43D6B9B6">
      <w:start w:val="1"/>
      <w:numFmt w:val="upperRoman"/>
      <w:lvlText w:val="%1."/>
      <w:lvlJc w:val="right"/>
      <w:pPr>
        <w:ind w:left="2160" w:hanging="360"/>
      </w:pPr>
      <w:rPr>
        <w:rFonts w:hint="default"/>
        <w:strike w:val="0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9BD4D78"/>
    <w:multiLevelType w:val="hybridMultilevel"/>
    <w:tmpl w:val="FB768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6041FA">
      <w:start w:val="1"/>
      <w:numFmt w:val="upperRoman"/>
      <w:lvlText w:val="%3."/>
      <w:lvlJc w:val="right"/>
      <w:pPr>
        <w:ind w:left="889" w:hanging="180"/>
      </w:pPr>
      <w:rPr>
        <w:rFonts w:ascii="Times New Roman" w:eastAsia="SimSu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F4417F"/>
    <w:multiLevelType w:val="hybridMultilevel"/>
    <w:tmpl w:val="70609046"/>
    <w:lvl w:ilvl="0" w:tplc="B602E23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B760D8"/>
    <w:multiLevelType w:val="hybridMultilevel"/>
    <w:tmpl w:val="F13A0382"/>
    <w:lvl w:ilvl="0" w:tplc="79287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E7E33"/>
    <w:multiLevelType w:val="hybridMultilevel"/>
    <w:tmpl w:val="0122C8F0"/>
    <w:lvl w:ilvl="0" w:tplc="9C948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1"/>
  </w:num>
  <w:num w:numId="9">
    <w:abstractNumId w:val="5"/>
  </w:num>
  <w:num w:numId="10">
    <w:abstractNumId w:val="8"/>
  </w:num>
  <w:num w:numId="11">
    <w:abstractNumId w:val="7"/>
  </w:num>
  <w:num w:numId="12">
    <w:abstractNumId w:val="1"/>
  </w:num>
  <w:num w:numId="13">
    <w:abstractNumId w:val="1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0D2FA4"/>
    <w:rsid w:val="00116841"/>
    <w:rsid w:val="00117060"/>
    <w:rsid w:val="00155217"/>
    <w:rsid w:val="001C14EE"/>
    <w:rsid w:val="002168B6"/>
    <w:rsid w:val="00292A51"/>
    <w:rsid w:val="00297FB1"/>
    <w:rsid w:val="002D2D11"/>
    <w:rsid w:val="002E30B8"/>
    <w:rsid w:val="002E37E9"/>
    <w:rsid w:val="00385558"/>
    <w:rsid w:val="003F1F75"/>
    <w:rsid w:val="00452FD9"/>
    <w:rsid w:val="00453CB7"/>
    <w:rsid w:val="0048406A"/>
    <w:rsid w:val="004C00C7"/>
    <w:rsid w:val="004F5F01"/>
    <w:rsid w:val="00524068"/>
    <w:rsid w:val="0056477C"/>
    <w:rsid w:val="00674874"/>
    <w:rsid w:val="006A7A1A"/>
    <w:rsid w:val="00717008"/>
    <w:rsid w:val="00737092"/>
    <w:rsid w:val="00763CA8"/>
    <w:rsid w:val="00765FD8"/>
    <w:rsid w:val="00831E4F"/>
    <w:rsid w:val="008810DA"/>
    <w:rsid w:val="008A2606"/>
    <w:rsid w:val="008B0D5C"/>
    <w:rsid w:val="008F7987"/>
    <w:rsid w:val="00924DFE"/>
    <w:rsid w:val="009527B5"/>
    <w:rsid w:val="00A04AC0"/>
    <w:rsid w:val="00A7096B"/>
    <w:rsid w:val="00AC30CA"/>
    <w:rsid w:val="00B01A16"/>
    <w:rsid w:val="00C07B72"/>
    <w:rsid w:val="00C41A3F"/>
    <w:rsid w:val="00C72650"/>
    <w:rsid w:val="00E55F87"/>
    <w:rsid w:val="00E92ACB"/>
    <w:rsid w:val="00F5375D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Bezodstpw">
    <w:name w:val="No Spacing"/>
    <w:uiPriority w:val="1"/>
    <w:qFormat/>
    <w:rsid w:val="00737092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7008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7008"/>
    <w:rPr>
      <w:rFonts w:ascii="Liberation Serif" w:eastAsia="SimSun" w:hAnsi="Liberation Serif" w:cs="Mangal"/>
      <w:kern w:val="2"/>
      <w:sz w:val="16"/>
      <w:szCs w:val="14"/>
      <w:lang w:eastAsia="zh-CN" w:bidi="hi-IN"/>
    </w:rPr>
  </w:style>
  <w:style w:type="character" w:customStyle="1" w:styleId="normaltextrun">
    <w:name w:val="normaltextrun"/>
    <w:basedOn w:val="Domylnaczcionkaakapitu"/>
    <w:qFormat/>
    <w:rsid w:val="00C72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13</cp:revision>
  <cp:lastPrinted>2024-10-14T11:41:00Z</cp:lastPrinted>
  <dcterms:created xsi:type="dcterms:W3CDTF">2024-10-14T06:22:00Z</dcterms:created>
  <dcterms:modified xsi:type="dcterms:W3CDTF">2025-10-02T12:37:00Z</dcterms:modified>
</cp:coreProperties>
</file>